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E3" w:rsidRPr="000A4812" w:rsidRDefault="001C4BE3" w:rsidP="001C4BE3">
      <w:pPr>
        <w:spacing w:after="0"/>
        <w:rPr>
          <w:b/>
          <w:sz w:val="20"/>
          <w:szCs w:val="20"/>
        </w:rPr>
      </w:pPr>
    </w:p>
    <w:p w:rsidR="00824B83" w:rsidRDefault="00824B83" w:rsidP="001C4BE3">
      <w:pPr>
        <w:spacing w:after="0"/>
        <w:rPr>
          <w:b/>
          <w:sz w:val="28"/>
          <w:szCs w:val="28"/>
        </w:rPr>
      </w:pPr>
      <w:r w:rsidRPr="00824B83">
        <w:rPr>
          <w:b/>
          <w:sz w:val="28"/>
          <w:szCs w:val="28"/>
        </w:rPr>
        <w:t>Změna licencování Windows Server 2008 CAL při nasazení virtualizace</w:t>
      </w:r>
    </w:p>
    <w:p w:rsidR="000A4812" w:rsidRPr="000A4812" w:rsidRDefault="000A4812" w:rsidP="001C4BE3">
      <w:pPr>
        <w:spacing w:after="0"/>
        <w:rPr>
          <w:b/>
          <w:sz w:val="6"/>
          <w:szCs w:val="6"/>
        </w:rPr>
      </w:pPr>
    </w:p>
    <w:p w:rsidR="00D248A8" w:rsidRPr="00297E3B" w:rsidRDefault="00455157">
      <w:pPr>
        <w:rPr>
          <w:lang w:val="cs-CZ"/>
        </w:rPr>
      </w:pPr>
      <w:r>
        <w:rPr>
          <w:noProof/>
          <w:lang w:val="cs-CZ" w:eastAsia="cs-CZ"/>
        </w:rPr>
        <w:pict>
          <v:shapetype id="_x0000_t202" coordsize="21600,21600" o:spt="202" path="m,l,21600r21600,l21600,xe">
            <v:stroke joinstyle="miter"/>
            <v:path gradientshapeok="t" o:connecttype="rect"/>
          </v:shapetype>
          <v:shape id="_x0000_s1027" type="#_x0000_t202" style="position:absolute;margin-left:377.5pt;margin-top:-79.9pt;width:153.95pt;height:33.2pt;z-index:251659264;mso-width-relative:margin;mso-height-relative:margin" stroked="f">
            <v:textbox style="mso-next-textbox:#_x0000_s1027">
              <w:txbxContent>
                <w:p w:rsidR="00455157" w:rsidRDefault="00455157" w:rsidP="00455157">
                  <w:r w:rsidRPr="00C1796A">
                    <w:rPr>
                      <w:noProof/>
                      <w:lang w:val="cs-CZ" w:eastAsia="cs-CZ"/>
                    </w:rPr>
                    <w:drawing>
                      <wp:inline distT="0" distB="0" distL="0" distR="0">
                        <wp:extent cx="1285713" cy="206818"/>
                        <wp:effectExtent l="19050" t="0" r="0" b="0"/>
                        <wp:docPr id="9" name="Picture 23" descr="C:\MS-Data\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MS-Data\Temp\logo.jpg"/>
                                <pic:cNvPicPr>
                                  <a:picLocks noChangeAspect="1" noChangeArrowheads="1"/>
                                </pic:cNvPicPr>
                              </pic:nvPicPr>
                              <pic:blipFill>
                                <a:blip r:embed="rId7"/>
                                <a:srcRect/>
                                <a:stretch>
                                  <a:fillRect/>
                                </a:stretch>
                              </pic:blipFill>
                              <pic:spPr bwMode="auto">
                                <a:xfrm>
                                  <a:off x="0" y="0"/>
                                  <a:ext cx="1285866" cy="206843"/>
                                </a:xfrm>
                                <a:prstGeom prst="rect">
                                  <a:avLst/>
                                </a:prstGeom>
                                <a:noFill/>
                                <a:ln w="9525">
                                  <a:noFill/>
                                  <a:miter lim="800000"/>
                                  <a:headEnd/>
                                  <a:tailEnd/>
                                </a:ln>
                              </pic:spPr>
                            </pic:pic>
                          </a:graphicData>
                        </a:graphic>
                      </wp:inline>
                    </w:drawing>
                  </w:r>
                </w:p>
              </w:txbxContent>
            </v:textbox>
          </v:shape>
        </w:pict>
      </w:r>
      <w:r w:rsidR="00C1796A">
        <w:rPr>
          <w:lang w:val="cs-CZ"/>
        </w:rPr>
        <w:t>D</w:t>
      </w:r>
      <w:r w:rsidR="00D248A8" w:rsidRPr="00297E3B">
        <w:rPr>
          <w:lang w:val="cs-CZ"/>
        </w:rPr>
        <w:t xml:space="preserve">ovolte </w:t>
      </w:r>
      <w:r w:rsidR="003415D3">
        <w:rPr>
          <w:lang w:val="cs-CZ"/>
        </w:rPr>
        <w:t>nám</w:t>
      </w:r>
      <w:r w:rsidR="00D248A8" w:rsidRPr="00297E3B">
        <w:rPr>
          <w:lang w:val="cs-CZ"/>
        </w:rPr>
        <w:t>, abych</w:t>
      </w:r>
      <w:r w:rsidR="003415D3">
        <w:rPr>
          <w:lang w:val="cs-CZ"/>
        </w:rPr>
        <w:t>om</w:t>
      </w:r>
      <w:r w:rsidR="00D248A8" w:rsidRPr="00297E3B">
        <w:rPr>
          <w:lang w:val="cs-CZ"/>
        </w:rPr>
        <w:t xml:space="preserve"> Vás informoval</w:t>
      </w:r>
      <w:r w:rsidR="003415D3">
        <w:rPr>
          <w:lang w:val="cs-CZ"/>
        </w:rPr>
        <w:t>i</w:t>
      </w:r>
      <w:r w:rsidR="00D248A8" w:rsidRPr="00297E3B">
        <w:rPr>
          <w:lang w:val="cs-CZ"/>
        </w:rPr>
        <w:t xml:space="preserve"> o důležité změně v licencování systému Windows Server 2008, která se týká licencí CAL a virtualizace. </w:t>
      </w:r>
    </w:p>
    <w:p w:rsidR="00D248A8" w:rsidRPr="00297E3B" w:rsidRDefault="00455157">
      <w:pPr>
        <w:rPr>
          <w:lang w:val="cs-CZ"/>
        </w:rPr>
      </w:pPr>
      <w:r>
        <w:rPr>
          <w:noProof/>
          <w:lang w:val="cs-CZ" w:eastAsia="cs-CZ"/>
        </w:rPr>
        <w:pict>
          <v:shape id="_x0000_s1026" type="#_x0000_t202" style="position:absolute;margin-left:-47.85pt;margin-top:-130.55pt;width:229.35pt;height:50.7pt;z-index:251658240;mso-height-percent:200;mso-height-percent:200;mso-width-relative:margin;mso-height-relative:margin" stroked="f">
            <v:textbox style="mso-fit-shape-to-text:t">
              <w:txbxContent>
                <w:p w:rsidR="00455157" w:rsidRDefault="00455157" w:rsidP="00455157">
                  <w:r w:rsidRPr="001C4BE3">
                    <w:drawing>
                      <wp:inline distT="0" distB="0" distL="0" distR="0">
                        <wp:extent cx="2648856" cy="40005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685826" cy="405634"/>
                                </a:xfrm>
                                <a:prstGeom prst="rect">
                                  <a:avLst/>
                                </a:prstGeom>
                                <a:noFill/>
                                <a:ln w="9525">
                                  <a:noFill/>
                                  <a:miter lim="800000"/>
                                  <a:headEnd/>
                                  <a:tailEnd/>
                                </a:ln>
                              </pic:spPr>
                            </pic:pic>
                          </a:graphicData>
                        </a:graphic>
                      </wp:inline>
                    </w:drawing>
                  </w:r>
                </w:p>
              </w:txbxContent>
            </v:textbox>
          </v:shape>
        </w:pict>
      </w:r>
      <w:r w:rsidR="00D248A8" w:rsidRPr="00297E3B">
        <w:rPr>
          <w:lang w:val="cs-CZ"/>
        </w:rPr>
        <w:t xml:space="preserve">Celá řada trendů, mezi které patří také konsolidace a vysoká dostupnost, vede k rostoucímu zájmu o nasazení a testování technologie Hyper-V. Na základě názorů našich zákazníků upravujeme naše licenční pravidla, aby reagovala na nové možnosti vyplývající z virtualizace. </w:t>
      </w:r>
    </w:p>
    <w:p w:rsidR="00D248A8" w:rsidRPr="00297E3B" w:rsidRDefault="00D248A8">
      <w:pPr>
        <w:rPr>
          <w:lang w:val="cs-CZ"/>
        </w:rPr>
      </w:pPr>
      <w:r w:rsidRPr="00297E3B">
        <w:rPr>
          <w:lang w:val="cs-CZ"/>
        </w:rPr>
        <w:t>Pokud v současné době používá Vaše prostředí fyzického serveru systém Windows Server 2003, jsou pro všechny uživatele požadovány odpovídající licence CAL (tedy Windows Server 2003 CAL). Jestliže ovšem přesunete své fyzické prostředí operačního systému Windows Server 2003 (OSE) do virtuálního počítače hostovaného na technologii Windows Server 2008 Hyper-V, jsou požadovány licence Windows Server 2008 CAL. Tento požadavek odpovídá současným právům k používání. Po změně našich licenčních pravidel již nejsou požadovány licence Windows Server 2008 CAL, pokud systém Windows Server 2008 používáte výhradně jako virtualizačního hostitele. Výjimkou je stav, kdy používáte virtuální počítače s</w:t>
      </w:r>
      <w:r>
        <w:rPr>
          <w:lang w:val="cs-CZ"/>
        </w:rPr>
        <w:t> </w:t>
      </w:r>
      <w:r w:rsidRPr="00297E3B">
        <w:rPr>
          <w:lang w:val="cs-CZ"/>
        </w:rPr>
        <w:t xml:space="preserve">Windows Server 2008. V takovém případě budete potřebovat licence Windows Server 2008 CAL. </w:t>
      </w:r>
    </w:p>
    <w:p w:rsidR="00D248A8" w:rsidRPr="00297E3B" w:rsidRDefault="00D248A8">
      <w:pPr>
        <w:rPr>
          <w:lang w:val="cs-CZ"/>
        </w:rPr>
      </w:pPr>
      <w:r w:rsidRPr="00297E3B">
        <w:rPr>
          <w:lang w:val="cs-CZ"/>
        </w:rPr>
        <w:t>Abychom lépe demonstrovali dopad této změny licenčních pravidel, přikládám</w:t>
      </w:r>
      <w:r w:rsidR="003415D3">
        <w:rPr>
          <w:lang w:val="cs-CZ"/>
        </w:rPr>
        <w:t>e</w:t>
      </w:r>
      <w:r w:rsidRPr="00297E3B">
        <w:rPr>
          <w:lang w:val="cs-CZ"/>
        </w:rPr>
        <w:t xml:space="preserve"> tři možné scénáře a jejich výsledné požadavky.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6"/>
        <w:gridCol w:w="3167"/>
        <w:gridCol w:w="3556"/>
      </w:tblGrid>
      <w:tr w:rsidR="00D248A8" w:rsidRPr="003415D3" w:rsidTr="000A4812">
        <w:tc>
          <w:tcPr>
            <w:tcW w:w="3166" w:type="dxa"/>
            <w:tcMar>
              <w:top w:w="170" w:type="dxa"/>
            </w:tcMar>
          </w:tcPr>
          <w:p w:rsidR="00824B83" w:rsidRPr="009F731E" w:rsidRDefault="00824B83" w:rsidP="00824B83">
            <w:pPr>
              <w:spacing w:after="0"/>
              <w:rPr>
                <w:b/>
                <w:i/>
                <w:color w:val="C00000"/>
                <w:lang w:val="cs-CZ"/>
              </w:rPr>
            </w:pPr>
            <w:r w:rsidRPr="009F731E">
              <w:rPr>
                <w:b/>
                <w:i/>
                <w:color w:val="C00000"/>
                <w:lang w:val="cs-CZ"/>
              </w:rPr>
              <w:t>Scénář 1</w:t>
            </w:r>
          </w:p>
          <w:p w:rsidR="00D248A8" w:rsidRDefault="00D248A8" w:rsidP="00824B83">
            <w:pPr>
              <w:spacing w:after="0"/>
              <w:rPr>
                <w:b/>
                <w:lang w:val="cs-CZ"/>
              </w:rPr>
            </w:pPr>
            <w:r w:rsidRPr="00297E3B">
              <w:rPr>
                <w:b/>
                <w:lang w:val="cs-CZ"/>
              </w:rPr>
              <w:t>Zákazník nasazuje WS08</w:t>
            </w:r>
          </w:p>
          <w:p w:rsidR="00824B83" w:rsidRPr="00824B83" w:rsidRDefault="00824B83" w:rsidP="00824B83">
            <w:pPr>
              <w:spacing w:after="0"/>
              <w:rPr>
                <w:b/>
                <w:sz w:val="8"/>
                <w:szCs w:val="8"/>
                <w:lang w:val="cs-CZ"/>
              </w:rPr>
            </w:pPr>
          </w:p>
          <w:p w:rsidR="00D248A8" w:rsidRPr="00297E3B" w:rsidRDefault="00D248A8" w:rsidP="00CC3DAD">
            <w:pPr>
              <w:numPr>
                <w:ilvl w:val="0"/>
                <w:numId w:val="4"/>
              </w:numPr>
              <w:rPr>
                <w:lang w:val="cs-CZ"/>
              </w:rPr>
            </w:pPr>
            <w:r w:rsidRPr="00297E3B">
              <w:rPr>
                <w:lang w:val="cs-CZ"/>
              </w:rPr>
              <w:t>Nedochází k žádné změně v</w:t>
            </w:r>
            <w:r>
              <w:rPr>
                <w:lang w:val="cs-CZ"/>
              </w:rPr>
              <w:t> </w:t>
            </w:r>
            <w:r w:rsidRPr="00297E3B">
              <w:rPr>
                <w:lang w:val="cs-CZ"/>
              </w:rPr>
              <w:t>licencování ani požadavcích</w:t>
            </w:r>
            <w:r>
              <w:rPr>
                <w:lang w:val="cs-CZ"/>
              </w:rPr>
              <w:t xml:space="preserve"> na licence </w:t>
            </w:r>
            <w:r w:rsidRPr="00297E3B">
              <w:rPr>
                <w:lang w:val="cs-CZ"/>
              </w:rPr>
              <w:t>CAL</w:t>
            </w:r>
            <w:r>
              <w:rPr>
                <w:lang w:val="cs-CZ"/>
              </w:rPr>
              <w:t>.</w:t>
            </w:r>
          </w:p>
          <w:p w:rsidR="00D248A8" w:rsidRPr="00297E3B" w:rsidRDefault="00D248A8" w:rsidP="00CC3DAD">
            <w:pPr>
              <w:numPr>
                <w:ilvl w:val="0"/>
                <w:numId w:val="4"/>
              </w:numPr>
              <w:rPr>
                <w:lang w:val="cs-CZ"/>
              </w:rPr>
            </w:pPr>
            <w:r w:rsidRPr="00297E3B">
              <w:rPr>
                <w:lang w:val="cs-CZ"/>
              </w:rPr>
              <w:t>Nezáleží na tom, zda zákazník nasazuje funkce WS08 (kromě Hyper-V) ve fyzickém či virtuálním prostředí.</w:t>
            </w:r>
          </w:p>
        </w:tc>
        <w:tc>
          <w:tcPr>
            <w:tcW w:w="3167" w:type="dxa"/>
            <w:tcMar>
              <w:top w:w="170" w:type="dxa"/>
            </w:tcMar>
          </w:tcPr>
          <w:p w:rsidR="00824B83" w:rsidRPr="009F731E" w:rsidRDefault="00824B83" w:rsidP="00824B83">
            <w:pPr>
              <w:spacing w:after="0"/>
              <w:rPr>
                <w:b/>
                <w:i/>
                <w:color w:val="C00000"/>
                <w:lang w:val="cs-CZ"/>
              </w:rPr>
            </w:pPr>
            <w:r w:rsidRPr="009F731E">
              <w:rPr>
                <w:b/>
                <w:i/>
                <w:color w:val="C00000"/>
                <w:lang w:val="cs-CZ"/>
              </w:rPr>
              <w:t xml:space="preserve">Scénář 2 </w:t>
            </w:r>
          </w:p>
          <w:p w:rsidR="00D248A8" w:rsidRDefault="00D248A8" w:rsidP="00824B83">
            <w:pPr>
              <w:spacing w:after="0"/>
              <w:rPr>
                <w:b/>
                <w:lang w:val="cs-CZ"/>
              </w:rPr>
            </w:pPr>
            <w:r w:rsidRPr="00297E3B">
              <w:rPr>
                <w:b/>
                <w:lang w:val="cs-CZ"/>
              </w:rPr>
              <w:t>Zákazník nasazuje pouze WS08 Hyper-V z důvodu konsolidace WS03</w:t>
            </w:r>
          </w:p>
          <w:p w:rsidR="00824B83" w:rsidRPr="00824B83" w:rsidRDefault="00824B83" w:rsidP="00824B83">
            <w:pPr>
              <w:spacing w:after="0"/>
              <w:rPr>
                <w:b/>
                <w:sz w:val="8"/>
                <w:szCs w:val="8"/>
                <w:lang w:val="cs-CZ"/>
              </w:rPr>
            </w:pPr>
          </w:p>
          <w:p w:rsidR="00D248A8" w:rsidRPr="00297E3B" w:rsidRDefault="00D248A8" w:rsidP="000A4812">
            <w:pPr>
              <w:numPr>
                <w:ilvl w:val="0"/>
                <w:numId w:val="5"/>
              </w:numPr>
              <w:rPr>
                <w:lang w:val="cs-CZ"/>
              </w:rPr>
            </w:pPr>
            <w:r w:rsidRPr="00297E3B">
              <w:rPr>
                <w:lang w:val="cs-CZ"/>
              </w:rPr>
              <w:t>Již nejsou požadovány licence WS08 CAL.</w:t>
            </w:r>
          </w:p>
          <w:p w:rsidR="00D248A8" w:rsidRPr="00297E3B" w:rsidRDefault="00D248A8" w:rsidP="000A4812">
            <w:pPr>
              <w:numPr>
                <w:ilvl w:val="0"/>
                <w:numId w:val="5"/>
              </w:numPr>
              <w:rPr>
                <w:lang w:val="cs-CZ"/>
              </w:rPr>
            </w:pPr>
            <w:r w:rsidRPr="00297E3B">
              <w:rPr>
                <w:lang w:val="cs-CZ"/>
              </w:rPr>
              <w:t>Zákazník i nadále potřebuje licence CAL pro příslušnou edici WS (v tomto případě WS03).</w:t>
            </w:r>
          </w:p>
        </w:tc>
        <w:tc>
          <w:tcPr>
            <w:tcW w:w="3556" w:type="dxa"/>
            <w:tcMar>
              <w:top w:w="170" w:type="dxa"/>
            </w:tcMar>
          </w:tcPr>
          <w:p w:rsidR="00824B83" w:rsidRPr="009F731E" w:rsidRDefault="00D248A8" w:rsidP="00824B83">
            <w:pPr>
              <w:spacing w:after="0"/>
              <w:rPr>
                <w:b/>
                <w:i/>
                <w:color w:val="C00000"/>
                <w:lang w:val="cs-CZ"/>
              </w:rPr>
            </w:pPr>
            <w:r w:rsidRPr="009F731E">
              <w:rPr>
                <w:b/>
                <w:i/>
                <w:color w:val="C00000"/>
                <w:lang w:val="cs-CZ"/>
              </w:rPr>
              <w:t>Scénář 3</w:t>
            </w:r>
          </w:p>
          <w:p w:rsidR="00D248A8" w:rsidRDefault="00D248A8" w:rsidP="00824B83">
            <w:pPr>
              <w:spacing w:after="0"/>
              <w:rPr>
                <w:b/>
                <w:lang w:val="cs-CZ"/>
              </w:rPr>
            </w:pPr>
            <w:r w:rsidRPr="00297E3B">
              <w:rPr>
                <w:b/>
                <w:lang w:val="cs-CZ"/>
              </w:rPr>
              <w:t>Zákazník nasazuje WS08 Hyper-V z důvodu konsolidace WS03 ale také pro běžné používání</w:t>
            </w:r>
          </w:p>
          <w:p w:rsidR="00824B83" w:rsidRPr="00824B83" w:rsidRDefault="00824B83" w:rsidP="00824B83">
            <w:pPr>
              <w:spacing w:after="0"/>
              <w:rPr>
                <w:b/>
                <w:sz w:val="8"/>
                <w:szCs w:val="8"/>
                <w:lang w:val="cs-CZ"/>
              </w:rPr>
            </w:pPr>
          </w:p>
          <w:p w:rsidR="00D248A8" w:rsidRPr="00297E3B" w:rsidRDefault="00D248A8" w:rsidP="000A4812">
            <w:pPr>
              <w:numPr>
                <w:ilvl w:val="0"/>
                <w:numId w:val="6"/>
              </w:numPr>
              <w:rPr>
                <w:lang w:val="cs-CZ"/>
              </w:rPr>
            </w:pPr>
            <w:r w:rsidRPr="00297E3B">
              <w:rPr>
                <w:lang w:val="cs-CZ"/>
              </w:rPr>
              <w:t>Pro nasazení WS08 používané pro standardní úlohy jsou požadovány licence WS08 CAL.</w:t>
            </w:r>
          </w:p>
          <w:p w:rsidR="00D248A8" w:rsidRPr="00297E3B" w:rsidRDefault="00D248A8" w:rsidP="000A4812">
            <w:pPr>
              <w:numPr>
                <w:ilvl w:val="0"/>
                <w:numId w:val="6"/>
              </w:numPr>
              <w:rPr>
                <w:lang w:val="cs-CZ"/>
              </w:rPr>
            </w:pPr>
            <w:r w:rsidRPr="00297E3B">
              <w:rPr>
                <w:lang w:val="cs-CZ"/>
              </w:rPr>
              <w:t>Licence CAL pro konkrétní verzi systému Windows Server umožňuje uživateli/zařízení přístup ke všem instancím této dané verze systému Windows Server (a předchozím verzím) v celé organizaci.</w:t>
            </w:r>
          </w:p>
        </w:tc>
      </w:tr>
    </w:tbl>
    <w:p w:rsidR="000A4812" w:rsidRPr="000A4812" w:rsidRDefault="000A4812">
      <w:pPr>
        <w:rPr>
          <w:sz w:val="8"/>
          <w:szCs w:val="8"/>
          <w:lang w:val="cs-CZ"/>
        </w:rPr>
      </w:pPr>
    </w:p>
    <w:p w:rsidR="00D248A8" w:rsidRPr="00297E3B" w:rsidRDefault="00D248A8">
      <w:pPr>
        <w:rPr>
          <w:lang w:val="cs-CZ"/>
        </w:rPr>
      </w:pPr>
      <w:r w:rsidRPr="00297E3B">
        <w:rPr>
          <w:lang w:val="cs-CZ"/>
        </w:rPr>
        <w:t xml:space="preserve">Domníváme se, že tato změna usnadní a podpoří přijetí virtualizační technologie našimi zákazníky. Pokud požadujete podrobnější informace o této změně, přečtěte si aktualizovaný dokument </w:t>
      </w:r>
      <w:hyperlink r:id="rId9" w:history="1">
        <w:r w:rsidRPr="00297E3B">
          <w:rPr>
            <w:rStyle w:val="Hyperlink"/>
            <w:lang w:val="cs-CZ"/>
          </w:rPr>
          <w:t>Volume Licensing Brief</w:t>
        </w:r>
      </w:hyperlink>
      <w:r w:rsidRPr="00297E3B">
        <w:rPr>
          <w:lang w:val="cs-CZ"/>
        </w:rPr>
        <w:t xml:space="preserve">. </w:t>
      </w:r>
    </w:p>
    <w:p w:rsidR="00D248A8" w:rsidRPr="00297E3B" w:rsidRDefault="00D248A8">
      <w:pPr>
        <w:rPr>
          <w:lang w:val="cs-CZ"/>
        </w:rPr>
      </w:pPr>
      <w:r w:rsidRPr="00297E3B">
        <w:rPr>
          <w:lang w:val="cs-CZ"/>
        </w:rPr>
        <w:t>Děkujeme za Váš čas a důvěru v produkty společnosti Microsoft</w:t>
      </w:r>
      <w:r w:rsidR="003415D3">
        <w:rPr>
          <w:lang w:val="cs-CZ"/>
        </w:rPr>
        <w:t>.</w:t>
      </w:r>
    </w:p>
    <w:sectPr w:rsidR="00D248A8" w:rsidRPr="00297E3B" w:rsidSect="000A4812">
      <w:footerReference w:type="default" r:id="rId10"/>
      <w:pgSz w:w="12240" w:h="15840"/>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AD8" w:rsidRDefault="002D0AD8" w:rsidP="001C6641">
      <w:pPr>
        <w:spacing w:after="0" w:line="240" w:lineRule="auto"/>
      </w:pPr>
      <w:r>
        <w:separator/>
      </w:r>
    </w:p>
  </w:endnote>
  <w:endnote w:type="continuationSeparator" w:id="1">
    <w:p w:rsidR="002D0AD8" w:rsidRDefault="002D0AD8" w:rsidP="001C6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12" w:rsidRDefault="000A4812">
    <w:pPr>
      <w:pStyle w:val="Footer"/>
      <w:rPr>
        <w:sz w:val="16"/>
        <w:szCs w:val="16"/>
      </w:rPr>
    </w:pPr>
    <w:r w:rsidRPr="000A4812">
      <w:rPr>
        <w:noProof/>
        <w:sz w:val="16"/>
        <w:szCs w:val="16"/>
        <w:lang w:eastAsia="zh-TW"/>
      </w:rPr>
      <w:pict>
        <v:shapetype id="_x0000_t202" coordsize="21600,21600" o:spt="202" path="m,l,21600r21600,l21600,xe">
          <v:stroke joinstyle="miter"/>
          <v:path gradientshapeok="t" o:connecttype="rect"/>
        </v:shapetype>
        <v:shape id="_x0000_s3077" type="#_x0000_t202" style="position:absolute;margin-left:-7.85pt;margin-top:12.45pt;width:187.2pt;height:16.95pt;z-index:251664384;mso-width-percent:400;mso-height-percent:200;mso-width-percent:400;mso-height-percent:200;mso-width-relative:margin;mso-height-relative:margin" stroked="f">
          <v:textbox style="mso-next-textbox:#_x0000_s3077;mso-fit-shape-to-text:t">
            <w:txbxContent>
              <w:p w:rsidR="000A4812" w:rsidRDefault="000A4812" w:rsidP="000A4812">
                <w:pPr>
                  <w:pStyle w:val="Footer"/>
                </w:pPr>
                <w:r>
                  <w:rPr>
                    <w:sz w:val="16"/>
                    <w:szCs w:val="16"/>
                  </w:rPr>
                  <w:t>©2009</w:t>
                </w:r>
                <w:r w:rsidRPr="000064D9">
                  <w:rPr>
                    <w:sz w:val="16"/>
                    <w:szCs w:val="16"/>
                  </w:rPr>
                  <w:t xml:space="preserve"> Microsoft Corporation. All rights reserved.</w:t>
                </w:r>
                <w:r w:rsidRPr="000064D9">
                  <w:rPr>
                    <w:sz w:val="16"/>
                    <w:szCs w:val="16"/>
                  </w:rPr>
                  <w:tab/>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AD8" w:rsidRDefault="002D0AD8" w:rsidP="001C6641">
      <w:pPr>
        <w:spacing w:after="0" w:line="240" w:lineRule="auto"/>
      </w:pPr>
      <w:r>
        <w:separator/>
      </w:r>
    </w:p>
  </w:footnote>
  <w:footnote w:type="continuationSeparator" w:id="1">
    <w:p w:rsidR="002D0AD8" w:rsidRDefault="002D0AD8" w:rsidP="001C66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0BA8"/>
    <w:multiLevelType w:val="hybridMultilevel"/>
    <w:tmpl w:val="DD9EA830"/>
    <w:lvl w:ilvl="0" w:tplc="04050003">
      <w:start w:val="1"/>
      <w:numFmt w:val="bullet"/>
      <w:lvlText w:val="o"/>
      <w:lvlJc w:val="left"/>
      <w:pPr>
        <w:tabs>
          <w:tab w:val="num" w:pos="360"/>
        </w:tabs>
        <w:ind w:left="360" w:hanging="360"/>
      </w:pPr>
      <w:rPr>
        <w:rFonts w:ascii="Courier New" w:hAnsi="Courier New" w:cs="Courier New" w:hint="default"/>
        <w:color w:val="auto"/>
        <w:sz w:val="1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1FA2F9F"/>
    <w:multiLevelType w:val="hybridMultilevel"/>
    <w:tmpl w:val="35D8F172"/>
    <w:lvl w:ilvl="0" w:tplc="04050003">
      <w:start w:val="1"/>
      <w:numFmt w:val="bullet"/>
      <w:lvlText w:val="o"/>
      <w:lvlJc w:val="left"/>
      <w:pPr>
        <w:tabs>
          <w:tab w:val="num" w:pos="360"/>
        </w:tabs>
        <w:ind w:left="360" w:hanging="360"/>
      </w:pPr>
      <w:rPr>
        <w:rFonts w:ascii="Courier New" w:hAnsi="Courier New" w:cs="Courier New" w:hint="default"/>
        <w:color w:val="auto"/>
        <w:sz w:val="1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70E5BA1"/>
    <w:multiLevelType w:val="hybridMultilevel"/>
    <w:tmpl w:val="D0D07B94"/>
    <w:lvl w:ilvl="0" w:tplc="04050005">
      <w:start w:val="1"/>
      <w:numFmt w:val="bullet"/>
      <w:lvlText w:val=""/>
      <w:lvlJc w:val="left"/>
      <w:pPr>
        <w:tabs>
          <w:tab w:val="num" w:pos="360"/>
        </w:tabs>
        <w:ind w:left="360" w:hanging="360"/>
      </w:pPr>
      <w:rPr>
        <w:rFonts w:ascii="Wingdings" w:hAnsi="Wingdings" w:hint="default"/>
        <w:color w:val="auto"/>
        <w:sz w:val="1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DDD0DD2"/>
    <w:multiLevelType w:val="hybridMultilevel"/>
    <w:tmpl w:val="B352C8C2"/>
    <w:lvl w:ilvl="0" w:tplc="04050003">
      <w:start w:val="1"/>
      <w:numFmt w:val="bullet"/>
      <w:lvlText w:val="o"/>
      <w:lvlJc w:val="left"/>
      <w:pPr>
        <w:tabs>
          <w:tab w:val="num" w:pos="360"/>
        </w:tabs>
        <w:ind w:left="360" w:hanging="360"/>
      </w:pPr>
      <w:rPr>
        <w:rFonts w:ascii="Courier New" w:hAnsi="Courier New" w:cs="Courier New" w:hint="default"/>
        <w:color w:val="auto"/>
        <w:sz w:val="1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2E22D50"/>
    <w:multiLevelType w:val="hybridMultilevel"/>
    <w:tmpl w:val="1BEA5700"/>
    <w:lvl w:ilvl="0" w:tplc="5FFCA170">
      <w:start w:val="1"/>
      <w:numFmt w:val="bullet"/>
      <w:lvlText w:val=""/>
      <w:lvlJc w:val="left"/>
      <w:pPr>
        <w:tabs>
          <w:tab w:val="num" w:pos="360"/>
        </w:tabs>
        <w:ind w:left="360" w:hanging="360"/>
      </w:pPr>
      <w:rPr>
        <w:rFonts w:ascii="Symbol" w:hAnsi="Symbol" w:hint="default"/>
        <w:color w:val="auto"/>
        <w:sz w:val="1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8081C96"/>
    <w:multiLevelType w:val="hybridMultilevel"/>
    <w:tmpl w:val="BF5842E0"/>
    <w:lvl w:ilvl="0" w:tplc="5FFCA170">
      <w:start w:val="1"/>
      <w:numFmt w:val="bullet"/>
      <w:lvlText w:val=""/>
      <w:lvlJc w:val="left"/>
      <w:pPr>
        <w:tabs>
          <w:tab w:val="num" w:pos="360"/>
        </w:tabs>
        <w:ind w:left="360" w:hanging="360"/>
      </w:pPr>
      <w:rPr>
        <w:rFonts w:ascii="Symbol" w:hAnsi="Symbol" w:hint="default"/>
        <w:color w:val="auto"/>
        <w:sz w:val="1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B1069B"/>
    <w:rsid w:val="000A4812"/>
    <w:rsid w:val="000A54C9"/>
    <w:rsid w:val="00141486"/>
    <w:rsid w:val="001C4BE3"/>
    <w:rsid w:val="001C6641"/>
    <w:rsid w:val="001D26D4"/>
    <w:rsid w:val="001D7297"/>
    <w:rsid w:val="001F7EFD"/>
    <w:rsid w:val="00297E3B"/>
    <w:rsid w:val="002D0AD8"/>
    <w:rsid w:val="003415D3"/>
    <w:rsid w:val="0038281E"/>
    <w:rsid w:val="00455157"/>
    <w:rsid w:val="004E5634"/>
    <w:rsid w:val="00540DE5"/>
    <w:rsid w:val="005D095F"/>
    <w:rsid w:val="00677DF5"/>
    <w:rsid w:val="0077604D"/>
    <w:rsid w:val="007B19EE"/>
    <w:rsid w:val="007E0C78"/>
    <w:rsid w:val="00824B83"/>
    <w:rsid w:val="00876F29"/>
    <w:rsid w:val="00896E57"/>
    <w:rsid w:val="008E03CE"/>
    <w:rsid w:val="009120B4"/>
    <w:rsid w:val="00963CF8"/>
    <w:rsid w:val="009F731E"/>
    <w:rsid w:val="00A02780"/>
    <w:rsid w:val="00B1069B"/>
    <w:rsid w:val="00B321A6"/>
    <w:rsid w:val="00C1796A"/>
    <w:rsid w:val="00CC3DAD"/>
    <w:rsid w:val="00D248A8"/>
    <w:rsid w:val="00E8767A"/>
    <w:rsid w:val="00F3551F"/>
    <w:rsid w:val="00FB4BEE"/>
    <w:rsid w:val="00FF6F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CE"/>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A5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54C9"/>
    <w:rPr>
      <w:rFonts w:ascii="Tahoma" w:hAnsi="Tahoma" w:cs="Tahoma"/>
      <w:sz w:val="16"/>
      <w:szCs w:val="16"/>
    </w:rPr>
  </w:style>
  <w:style w:type="character" w:styleId="CommentReference">
    <w:name w:val="annotation reference"/>
    <w:basedOn w:val="DefaultParagraphFont"/>
    <w:uiPriority w:val="99"/>
    <w:semiHidden/>
    <w:rsid w:val="000A54C9"/>
    <w:rPr>
      <w:rFonts w:cs="Times New Roman"/>
      <w:sz w:val="16"/>
      <w:szCs w:val="16"/>
    </w:rPr>
  </w:style>
  <w:style w:type="paragraph" w:styleId="CommentText">
    <w:name w:val="annotation text"/>
    <w:basedOn w:val="Normal"/>
    <w:link w:val="CommentTextChar"/>
    <w:uiPriority w:val="99"/>
    <w:semiHidden/>
    <w:rsid w:val="000A54C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A54C9"/>
    <w:rPr>
      <w:rFonts w:cs="Times New Roman"/>
      <w:sz w:val="20"/>
      <w:szCs w:val="20"/>
    </w:rPr>
  </w:style>
  <w:style w:type="paragraph" w:styleId="CommentSubject">
    <w:name w:val="annotation subject"/>
    <w:basedOn w:val="CommentText"/>
    <w:next w:val="CommentText"/>
    <w:link w:val="CommentSubjectChar"/>
    <w:uiPriority w:val="99"/>
    <w:semiHidden/>
    <w:rsid w:val="000A54C9"/>
    <w:rPr>
      <w:b/>
      <w:bCs/>
    </w:rPr>
  </w:style>
  <w:style w:type="character" w:customStyle="1" w:styleId="CommentSubjectChar">
    <w:name w:val="Comment Subject Char"/>
    <w:basedOn w:val="CommentTextChar"/>
    <w:link w:val="CommentSubject"/>
    <w:uiPriority w:val="99"/>
    <w:semiHidden/>
    <w:locked/>
    <w:rsid w:val="000A54C9"/>
    <w:rPr>
      <w:b/>
      <w:bCs/>
    </w:rPr>
  </w:style>
  <w:style w:type="character" w:styleId="Hyperlink">
    <w:name w:val="Hyperlink"/>
    <w:basedOn w:val="DefaultParagraphFont"/>
    <w:uiPriority w:val="99"/>
    <w:rsid w:val="007E0C78"/>
    <w:rPr>
      <w:rFonts w:cs="Times New Roman"/>
      <w:color w:val="0000FF"/>
      <w:u w:val="single"/>
    </w:rPr>
  </w:style>
  <w:style w:type="table" w:styleId="TableGrid">
    <w:name w:val="Table Grid"/>
    <w:basedOn w:val="TableNormal"/>
    <w:uiPriority w:val="99"/>
    <w:locked/>
    <w:rsid w:val="00540DE5"/>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C664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C6641"/>
    <w:rPr>
      <w:lang w:val="en-US" w:eastAsia="en-US"/>
    </w:rPr>
  </w:style>
  <w:style w:type="paragraph" w:styleId="Footer">
    <w:name w:val="footer"/>
    <w:basedOn w:val="Normal"/>
    <w:link w:val="FooterChar"/>
    <w:uiPriority w:val="99"/>
    <w:unhideWhenUsed/>
    <w:rsid w:val="001C66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6641"/>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crosoft.com/licensing/resources/volbrief.m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1</Pages>
  <Words>364</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Graham</dc:creator>
  <cp:lastModifiedBy>v-jamac</cp:lastModifiedBy>
  <cp:revision>6</cp:revision>
  <dcterms:created xsi:type="dcterms:W3CDTF">2009-01-28T08:50:00Z</dcterms:created>
  <dcterms:modified xsi:type="dcterms:W3CDTF">2009-01-30T10:58:00Z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0x010100A721C87D6F870A429AD2B8768468ED0E</vt:lpwstr>
  </property>
  <property fmtid="{D5CDD505-2E9C-101B-9397-08002B2CF9AE}" pid="3" name="PublishingExpirationDate">
    <vt:lpwstr/>
  </property>
  <property fmtid="{D5CDD505-2E9C-101B-9397-08002B2CF9AE}" pid="4" name="PublishingStartDate">
    <vt:lpwstr/>
  </property>
</Properties>
</file>